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作品说明书模板</w:t>
      </w:r>
    </w:p>
    <w:p>
      <w:r>
        <w:t>本模板用于整理工业任务、万智作用和验证结果。按实际情况填写并删除提示，可增删图表和附录。作品说明书须以PDF提交，建议5—10页；演示视频须为MP4，建议不超过5分钟。请勿填写密码、完整密钥或未脱敏的客户资料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257"/>
      </w:tblGrid>
      <w:tr>
        <w:trPr>
          <w:cantSplit/>
          <w:tblHeader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AF0FA"/>
          </w:tcPr>
          <w:p>
            <w:pPr>
              <w:spacing w:after="60" w:line="288" w:lineRule="auto"/>
            </w:pPr>
            <w:r>
              <w:rPr>
                <w:b/>
                <w:sz w:val="19"/>
              </w:rPr>
              <w:t>项目</w:t>
            </w:r>
          </w:p>
        </w:tc>
        <w:tc>
          <w:tcPr>
            <w:tcW w:type="dxa" w:w="72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AF0FA"/>
          </w:tcPr>
          <w:p>
            <w:pPr>
              <w:spacing w:after="60" w:line="288" w:lineRule="auto"/>
            </w:pPr>
            <w:r>
              <w:rPr>
                <w:b/>
                <w:sz w:val="19"/>
              </w:rPr>
              <w:t>填写内容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作品名称</w:t>
            </w:r>
          </w:p>
        </w:tc>
        <w:tc>
          <w:tcPr>
            <w:tcW w:type="dxa" w:w="72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［填写］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7F9FC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团队名称及联系人</w:t>
            </w:r>
          </w:p>
        </w:tc>
        <w:tc>
          <w:tcPr>
            <w:tcW w:type="dxa" w:w="72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7F9FC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［填写］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参赛赛道</w:t>
            </w:r>
          </w:p>
        </w:tc>
        <w:tc>
          <w:tcPr>
            <w:tcW w:type="dxa" w:w="72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［应用赛／创新赛，选择一项］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7F9FC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主方向</w:t>
            </w:r>
          </w:p>
        </w:tc>
        <w:tc>
          <w:tcPr>
            <w:tcW w:type="dxa" w:w="72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7F9FC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［A／B／C／D／E，选择一项］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作品版本与说明日期</w:t>
            </w:r>
          </w:p>
        </w:tc>
        <w:tc>
          <w:tcPr>
            <w:tcW w:type="dxa" w:w="72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［填写］</w:t>
            </w:r>
          </w:p>
        </w:tc>
      </w:tr>
    </w:tbl>
    <w:p/>
    <w:p>
      <w:pPr>
        <w:pStyle w:val="Heading2"/>
      </w:pPr>
      <w:r>
        <w:t>1 项目概述</w:t>
      </w:r>
    </w:p>
    <w:p>
      <w:r>
        <w:t>建议用100—200字说明为谁解决什么问题、主要功能和当前开发阶段。</w:t>
      </w:r>
    </w:p>
    <w:p>
      <w:r>
        <w:rPr>
          <w:color w:val="707887"/>
        </w:rPr>
        <w:t>［在此填写，可增删段落］</w:t>
      </w:r>
    </w:p>
    <w:p/>
    <w:p>
      <w:pPr>
        <w:pStyle w:val="Heading2"/>
      </w:pPr>
      <w:r>
        <w:t>2 工业任务与范围</w:t>
      </w:r>
    </w:p>
    <w:p>
      <w:r>
        <w:t>说明使用者、业务流程、关键约束、核心任务，以及本次不覆盖的范围。参考或自拟场景均可。</w:t>
      </w:r>
    </w:p>
    <w:p>
      <w:r>
        <w:rPr>
          <w:color w:val="707887"/>
        </w:rPr>
        <w:t>［在此填写，可增删段落］</w:t>
      </w:r>
    </w:p>
    <w:p/>
    <w:p>
      <w:r>
        <w:br w:type="page"/>
      </w:r>
    </w:p>
    <w:p>
      <w:pPr>
        <w:pStyle w:val="Heading1"/>
      </w:pPr>
      <w:r>
        <w:t>3 技术方案与万智作用</w:t>
      </w:r>
    </w:p>
    <w:p>
      <w:r>
        <w:t>万智须完成至少一项与作品业务目标直接相关、具有实际用途的智能体任务，并提供可运行、可核验的 Agent 及运行证据。可同时提交独立Web、业务系统或本地程序，允许接口集成或独立配套运行，不要求全部功能部署在万智。仅用于辅助开发、材料制作、页面跳转或简单转发不满足要求。</w:t>
      </w:r>
    </w:p>
    <w:p>
      <w:pPr>
        <w:pStyle w:val="Heading2"/>
      </w:pPr>
      <w:r>
        <w:t>万智实际完成的任务</w:t>
      </w:r>
    </w:p>
    <w:p>
      <w:r>
        <w:t>填写一项或多项实际任务，说明输入、处理与判断、输出、业务用途及运行证据。</w:t>
      </w:r>
    </w:p>
    <w:p>
      <w:r>
        <w:rPr>
          <w:color w:val="707887"/>
        </w:rPr>
        <w:t>［在此填写，可增删段落］</w:t>
      </w:r>
    </w:p>
    <w:p>
      <w:pPr>
        <w:pStyle w:val="Heading2"/>
      </w:pPr>
      <w:r>
        <w:t>系统架构与配合方式</w:t>
      </w:r>
    </w:p>
    <w:p>
      <w:r>
        <w:t>选择万智原生、接口集成或独立配套运行。用图或文字说明各部分分工和数据如何传递，标明自动调用与人工操作。</w:t>
      </w:r>
    </w:p>
    <w:p>
      <w:r>
        <w:rPr>
          <w:color w:val="707887"/>
        </w:rPr>
        <w:t>［在此填写，可增删段落］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5726"/>
        <w:gridCol w:w="1984"/>
      </w:tblGrid>
      <w:tr>
        <w:trPr>
          <w:cantSplit/>
          <w:tblHeader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AF0FA"/>
          </w:tcPr>
          <w:p>
            <w:pPr>
              <w:spacing w:after="60" w:line="288" w:lineRule="auto"/>
            </w:pPr>
            <w:r>
              <w:rPr>
                <w:b/>
                <w:sz w:val="19"/>
              </w:rPr>
              <w:t>组成部分</w:t>
            </w:r>
          </w:p>
        </w:tc>
        <w:tc>
          <w:tcPr>
            <w:tcW w:type="dxa" w:w="572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AF0FA"/>
          </w:tcPr>
          <w:p>
            <w:pPr>
              <w:spacing w:after="60" w:line="288" w:lineRule="auto"/>
            </w:pPr>
            <w:r>
              <w:rPr>
                <w:b/>
                <w:sz w:val="19"/>
              </w:rPr>
              <w:t>实际完成什么</w:t>
            </w:r>
          </w:p>
        </w:tc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AF0FA"/>
          </w:tcPr>
          <w:p>
            <w:pPr>
              <w:spacing w:after="60" w:line="288" w:lineRule="auto"/>
            </w:pPr>
            <w:r>
              <w:rPr>
                <w:b/>
                <w:sz w:val="19"/>
              </w:rPr>
              <w:t>证据位置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万智Agent</w:t>
            </w:r>
          </w:p>
        </w:tc>
        <w:tc>
          <w:tcPr>
            <w:tcW w:type="dxa" w:w="572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［填写任务与结果］</w:t>
            </w:r>
          </w:p>
        </w:tc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［填写］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7F9FC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Web或其他应用</w:t>
            </w:r>
          </w:p>
        </w:tc>
        <w:tc>
          <w:tcPr>
            <w:tcW w:type="dxa" w:w="572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7F9FC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［无则填不适用］</w:t>
            </w:r>
          </w:p>
        </w:tc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7F9FC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［填写］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数据传递与人工操作</w:t>
            </w:r>
          </w:p>
        </w:tc>
        <w:tc>
          <w:tcPr>
            <w:tcW w:type="dxa" w:w="572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［填写实际步骤］</w:t>
            </w:r>
          </w:p>
        </w:tc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［填写］</w:t>
            </w:r>
          </w:p>
        </w:tc>
      </w:tr>
    </w:tbl>
    <w:p/>
    <w:p>
      <w:pPr>
        <w:pStyle w:val="Heading2"/>
      </w:pPr>
      <w:r>
        <w:t>关键设计与实际范围</w:t>
      </w:r>
    </w:p>
    <w:p>
      <w:r>
        <w:t>说明工具、约束、异常与外部依赖，区分已实现内容和计划。不按使用万智的功能数量或比例直接加分，仍按现有维度评审作品。</w:t>
      </w:r>
    </w:p>
    <w:p>
      <w:r>
        <w:rPr>
          <w:color w:val="707887"/>
        </w:rPr>
        <w:t>［在此填写，可增删段落］</w:t>
      </w:r>
    </w:p>
    <w:p>
      <w:r>
        <w:br w:type="page"/>
      </w:r>
    </w:p>
    <w:p>
      <w:pPr>
        <w:pStyle w:val="Heading1"/>
      </w:pPr>
      <w:r>
        <w:t>4 运行方式与版本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257"/>
      </w:tblGrid>
      <w:tr>
        <w:trPr>
          <w:cantSplit/>
          <w:tblHeader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AF0FA"/>
          </w:tcPr>
          <w:p>
            <w:pPr>
              <w:spacing w:after="60" w:line="288" w:lineRule="auto"/>
            </w:pPr>
            <w:r>
              <w:rPr>
                <w:b/>
                <w:sz w:val="19"/>
              </w:rPr>
              <w:t>项目</w:t>
            </w:r>
          </w:p>
        </w:tc>
        <w:tc>
          <w:tcPr>
            <w:tcW w:type="dxa" w:w="72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AF0FA"/>
          </w:tcPr>
          <w:p>
            <w:pPr>
              <w:spacing w:after="60" w:line="288" w:lineRule="auto"/>
            </w:pPr>
            <w:r>
              <w:rPr>
                <w:b/>
                <w:sz w:val="19"/>
              </w:rPr>
              <w:t>填写内容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万智Agent名称与公开URL</w:t>
            </w:r>
          </w:p>
        </w:tc>
        <w:tc>
          <w:tcPr>
            <w:tcW w:type="dxa" w:w="72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［填写已发布Agent的名称、版本与公开URL；检查评审可访问和运行，不填工作区或编辑页地址］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7F9FC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万智与其他部分关系</w:t>
            </w:r>
          </w:p>
        </w:tc>
        <w:tc>
          <w:tcPr>
            <w:tcW w:type="dxa" w:w="72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7F9FC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［万智原生／接口集成／独立配套运行］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其他应用的核验方式</w:t>
            </w:r>
          </w:p>
        </w:tc>
        <w:tc>
          <w:tcPr>
            <w:tcW w:type="dxa" w:w="72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［Web地址／API或MCP／本地程序／受控演示；无则填不适用］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7F9FC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运行环境与依赖</w:t>
            </w:r>
          </w:p>
        </w:tc>
        <w:tc>
          <w:tcPr>
            <w:tcW w:type="dxa" w:w="72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7F9FC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［模型、工具、服务及主要依赖版本］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配置与数据标识</w:t>
            </w:r>
          </w:p>
        </w:tc>
        <w:tc>
          <w:tcPr>
            <w:tcW w:type="dxa" w:w="72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［可追溯版本、日期或等效标识］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7F9FC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主要运行成本</w:t>
            </w:r>
          </w:p>
        </w:tc>
        <w:tc>
          <w:tcPr>
            <w:tcW w:type="dxa" w:w="72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7F9FC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［模型调用、部署、维护、人工等，说明依据］</w:t>
            </w:r>
          </w:p>
        </w:tc>
      </w:tr>
    </w:tbl>
    <w:p/>
    <w:p>
      <w:pPr>
        <w:pStyle w:val="Heading2"/>
      </w:pPr>
      <w:r>
        <w:t>复现任务的步骤</w:t>
      </w:r>
    </w:p>
    <w:p>
      <w:r>
        <w:t>分别说明万智任务及其他应用的前置条件、输入、操作、预期输出和人工传递步骤。公开URL、说明书、视频应对应同一提交版本。</w:t>
      </w:r>
    </w:p>
    <w:p>
      <w:r>
        <w:rPr>
          <w:color w:val="707887"/>
        </w:rPr>
        <w:t>［在此填写，可增删段落］</w:t>
      </w:r>
    </w:p>
    <w:p/>
    <w:p>
      <w:pPr>
        <w:pStyle w:val="Heading2"/>
      </w:pPr>
      <w:r>
        <w:t>其他应用的特殊环境与查验安排</w:t>
      </w:r>
    </w:p>
    <w:p>
      <w:r>
        <w:t>Web、内网或本地系统可说明受控演示方式与联系安排，不能替代万智Agent公开URL。测试凭据通过安全渠道另行协调。</w:t>
      </w:r>
    </w:p>
    <w:p>
      <w:r>
        <w:rPr>
          <w:color w:val="707887"/>
        </w:rPr>
        <w:t>［在此填写，可增删段落］</w:t>
      </w:r>
    </w:p>
    <w:p/>
    <w:p>
      <w:r>
        <w:br w:type="page"/>
      </w:r>
    </w:p>
    <w:p>
      <w:pPr>
        <w:pStyle w:val="Heading1"/>
      </w:pPr>
      <w:r>
        <w:t>5 数据来源与使用依据</w:t>
      </w:r>
    </w:p>
    <w:p>
      <w:r>
        <w:t>官方工业数据资源为可选数据，来自捷配链电子制造领域的脱敏数据。欢迎使用自己行业领域的数据，是否使用官方数据不影响评分。请据实填写来源与使用依据。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3628"/>
        <w:gridCol w:w="3628"/>
      </w:tblGrid>
      <w:tr>
        <w:trPr>
          <w:cantSplit/>
          <w:tblHeader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AF0FA"/>
          </w:tcPr>
          <w:p>
            <w:pPr>
              <w:spacing w:after="60" w:line="288" w:lineRule="auto"/>
            </w:pPr>
            <w:r>
              <w:rPr>
                <w:b/>
                <w:sz w:val="19"/>
              </w:rPr>
              <w:t>数据或资料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AF0FA"/>
          </w:tcPr>
          <w:p>
            <w:pPr>
              <w:spacing w:after="60" w:line="288" w:lineRule="auto"/>
            </w:pPr>
            <w:r>
              <w:rPr>
                <w:b/>
                <w:sz w:val="19"/>
              </w:rPr>
              <w:t>来源与范围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AF0FA"/>
          </w:tcPr>
          <w:p>
            <w:pPr>
              <w:spacing w:after="60" w:line="288" w:lineRule="auto"/>
            </w:pPr>
            <w:r>
              <w:rPr>
                <w:b/>
                <w:sz w:val="19"/>
              </w:rPr>
              <w:t>使用依据与处理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［填写］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［官方／自有／公开／模拟；时间及样本范围］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［授权、脱敏、筛选或模拟假设］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7F9FC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［按需新增］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7F9FC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［填写］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7F9FC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［填写］</w:t>
            </w:r>
          </w:p>
        </w:tc>
      </w:tr>
    </w:tbl>
    <w:p/>
    <w:p>
      <w:pPr>
        <w:pStyle w:val="Heading2"/>
      </w:pPr>
      <w:r>
        <w:t>数据处理与验证边界</w:t>
      </w:r>
    </w:p>
    <w:p>
      <w:r>
        <w:t>说明抽样、剔除、转换和模拟生成条件。区分模拟数据、历史离线数据、真实试运行与持续部署。</w:t>
      </w:r>
    </w:p>
    <w:p>
      <w:r>
        <w:rPr>
          <w:color w:val="707887"/>
        </w:rPr>
        <w:t>［在此填写，可增删段落］</w:t>
      </w:r>
    </w:p>
    <w:p/>
    <w:p/>
    <w:p>
      <w:pPr>
        <w:pStyle w:val="Heading2"/>
      </w:pPr>
      <w:r>
        <w:t>工具模型与第三方内容</w:t>
      </w:r>
    </w:p>
    <w:p>
      <w:r>
        <w:t>说明使用的模型、代码、知识库、公开成果及相应使用依据；标明引用与自身贡献。</w:t>
      </w:r>
    </w:p>
    <w:p>
      <w:r>
        <w:rPr>
          <w:color w:val="707887"/>
        </w:rPr>
        <w:t>［在此填写，可增删段落］</w:t>
      </w:r>
    </w:p>
    <w:p/>
    <w:p>
      <w:pPr>
        <w:pStyle w:val="Heading2"/>
      </w:pPr>
      <w:r>
        <w:t>权限与人工确认</w:t>
      </w:r>
    </w:p>
    <w:p>
      <w:r>
        <w:t>说明可读取的数据、可执行操作、需要确认的动作以及异常处理边界。</w:t>
      </w:r>
    </w:p>
    <w:p>
      <w:r>
        <w:rPr>
          <w:color w:val="707887"/>
        </w:rPr>
        <w:t>［在此填写，可增删段落］</w:t>
      </w:r>
    </w:p>
    <w:p/>
    <w:p>
      <w:r>
        <w:br w:type="page"/>
      </w:r>
    </w:p>
    <w:p>
      <w:pPr>
        <w:pStyle w:val="Heading1"/>
      </w:pPr>
      <w:r>
        <w:t>6 测试与结果</w:t>
      </w:r>
    </w:p>
    <w:p>
      <w:r>
        <w:t>按申报功能组织验证，至少提供万智所完成任务的实际运行证据。建议覆盖正常任务、条件变化和异常处理，保留失败与人工介入。独立运行按实际分工展示，不把人工传递描述成自动集成。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4819"/>
        <w:gridCol w:w="1871"/>
      </w:tblGrid>
      <w:tr>
        <w:trPr>
          <w:cantSplit/>
          <w:tblHeader/>
        </w:trPr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AF0FA"/>
          </w:tcPr>
          <w:p>
            <w:pPr>
              <w:spacing w:after="60" w:line="288" w:lineRule="auto"/>
            </w:pPr>
            <w:r>
              <w:rPr>
                <w:b/>
                <w:sz w:val="19"/>
              </w:rPr>
              <w:t>任务或条件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AF0FA"/>
          </w:tcPr>
          <w:p>
            <w:pPr>
              <w:spacing w:after="60" w:line="288" w:lineRule="auto"/>
            </w:pPr>
            <w:r>
              <w:rPr>
                <w:b/>
                <w:sz w:val="19"/>
              </w:rPr>
              <w:t>实际结果</w:t>
            </w:r>
          </w:p>
        </w:tc>
        <w:tc>
          <w:tcPr>
            <w:tcW w:type="dxa" w:w="187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AF0FA"/>
          </w:tcPr>
          <w:p>
            <w:pPr>
              <w:spacing w:after="60" w:line="288" w:lineRule="auto"/>
            </w:pPr>
            <w:r>
              <w:rPr>
                <w:b/>
                <w:sz w:val="19"/>
              </w:rPr>
              <w:t>证据编号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［正常任务］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［填写；包含关键调用与人工介入］</w:t>
            </w:r>
          </w:p>
        </w:tc>
        <w:tc>
          <w:tcPr>
            <w:tcW w:type="dxa" w:w="187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［填写］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7F9FC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［条件变化］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7F9FC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［填写］</w:t>
            </w:r>
          </w:p>
        </w:tc>
        <w:tc>
          <w:tcPr>
            <w:tcW w:type="dxa" w:w="187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7F9FC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［填写］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［异常处理］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［填写］</w:t>
            </w:r>
          </w:p>
        </w:tc>
        <w:tc>
          <w:tcPr>
            <w:tcW w:type="dxa" w:w="187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［填写］</w:t>
            </w:r>
          </w:p>
        </w:tc>
      </w:tr>
    </w:tbl>
    <w:p/>
    <w:p>
      <w:pPr>
        <w:pStyle w:val="Heading2"/>
      </w:pPr>
      <w:r>
        <w:t>对照方法与关键指标</w:t>
      </w:r>
    </w:p>
    <w:p>
      <w:r>
        <w:t>说明对照基线、样本范围、测试环境与成本口径，结果应支持所申报的业务效果或创新主张。</w:t>
      </w:r>
    </w:p>
    <w:p>
      <w:r>
        <w:rPr>
          <w:color w:val="707887"/>
        </w:rPr>
        <w:t>［在此填写，可增删段落］</w:t>
      </w:r>
    </w:p>
    <w:p/>
    <w:p/>
    <w:p>
      <w:pPr>
        <w:pStyle w:val="Heading2"/>
      </w:pPr>
      <w:r>
        <w:t>失败与已知局限</w:t>
      </w:r>
    </w:p>
    <w:p>
      <w:r>
        <w:t>说明未覆盖情况、失败原因、依赖条件与不确定性。不要把模拟改善直接写成已实现经营收益。</w:t>
      </w:r>
    </w:p>
    <w:p>
      <w:r>
        <w:rPr>
          <w:color w:val="707887"/>
        </w:rPr>
        <w:t>［在此填写，可增删段落］</w:t>
      </w:r>
    </w:p>
    <w:p/>
    <w:p>
      <w:r>
        <w:br w:type="page"/>
      </w:r>
    </w:p>
    <w:p>
      <w:pPr>
        <w:pStyle w:val="Heading1"/>
      </w:pPr>
      <w:r>
        <w:t>7 已有基础与团队贡献</w:t>
      </w:r>
    </w:p>
    <w:p>
      <w:pPr>
        <w:pStyle w:val="Heading2"/>
      </w:pPr>
      <w:r>
        <w:t>报名截止时的已有基础</w:t>
      </w:r>
    </w:p>
    <w:p>
      <w:r>
        <w:t>以2026年10月16日24:00时的核心功能成熟度为准，说明此前已有功能、版本、发布或使用情况及对应依据。</w:t>
      </w:r>
    </w:p>
    <w:p>
      <w:r>
        <w:rPr>
          <w:color w:val="707887"/>
        </w:rPr>
        <w:t>［在此填写，可增删段落］</w:t>
      </w:r>
    </w:p>
    <w:p/>
    <w:p>
      <w:pPr>
        <w:pStyle w:val="Heading2"/>
      </w:pPr>
      <w:r>
        <w:t>本届新增或适配内容</w:t>
      </w:r>
    </w:p>
    <w:p>
      <w:r>
        <w:t>说明本届完成的功能、万智接入、适配或验证，与已有能力区分。</w:t>
      </w:r>
    </w:p>
    <w:p>
      <w:r>
        <w:rPr>
          <w:color w:val="707887"/>
        </w:rPr>
        <w:t>［在此填写，可增删段落］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257"/>
      </w:tblGrid>
      <w:tr>
        <w:trPr>
          <w:cantSplit/>
          <w:tblHeader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AF0FA"/>
          </w:tcPr>
          <w:p>
            <w:pPr>
              <w:spacing w:after="60" w:line="288" w:lineRule="auto"/>
            </w:pPr>
            <w:r>
              <w:rPr>
                <w:b/>
                <w:sz w:val="19"/>
              </w:rPr>
              <w:t>成员</w:t>
            </w:r>
          </w:p>
        </w:tc>
        <w:tc>
          <w:tcPr>
            <w:tcW w:type="dxa" w:w="72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AF0FA"/>
          </w:tcPr>
          <w:p>
            <w:pPr>
              <w:spacing w:after="60" w:line="288" w:lineRule="auto"/>
            </w:pPr>
            <w:r>
              <w:rPr>
                <w:b/>
                <w:sz w:val="19"/>
              </w:rPr>
              <w:t>分工与实际贡献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［成员1］</w:t>
            </w:r>
          </w:p>
        </w:tc>
        <w:tc>
          <w:tcPr>
            <w:tcW w:type="dxa" w:w="72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［填写］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7F9FC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［成员2，可删］</w:t>
            </w:r>
          </w:p>
        </w:tc>
        <w:tc>
          <w:tcPr>
            <w:tcW w:type="dxa" w:w="72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7F9FC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［填写］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［成员3，可删］</w:t>
            </w:r>
          </w:p>
        </w:tc>
        <w:tc>
          <w:tcPr>
            <w:tcW w:type="dxa" w:w="72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［填写］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7F9FC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［成员4，可删］</w:t>
            </w:r>
          </w:p>
        </w:tc>
        <w:tc>
          <w:tcPr>
            <w:tcW w:type="dxa" w:w="72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7F9FC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［填写］</w:t>
            </w:r>
          </w:p>
        </w:tc>
      </w:tr>
    </w:tbl>
    <w:p/>
    <w:p>
      <w:pPr>
        <w:pStyle w:val="Heading2"/>
      </w:pPr>
      <w:r>
        <w:t>外部支持与引用</w:t>
      </w:r>
    </w:p>
    <w:p>
      <w:r>
        <w:t>如实说明企业、导师、社区等提供的数据、工具、资金或指导，以及团队实际完成的部分。</w:t>
      </w:r>
    </w:p>
    <w:p>
      <w:r>
        <w:rPr>
          <w:color w:val="707887"/>
        </w:rPr>
        <w:t>［在此填写，可增删段落］</w:t>
      </w:r>
    </w:p>
    <w:p>
      <w:r>
        <w:br w:type="page"/>
      </w:r>
    </w:p>
    <w:p>
      <w:pPr>
        <w:pStyle w:val="Heading1"/>
      </w:pPr>
      <w:r>
        <w:t>8 赛道专项说明</w:t>
      </w:r>
    </w:p>
    <w:p>
      <w:r>
        <w:t>按所报赛道填写对应部分，删除另一部分。评分维度与权重以官网已公布的初赛标准为准。</w:t>
      </w:r>
    </w:p>
    <w:p>
      <w:pPr>
        <w:pStyle w:val="Heading2"/>
      </w:pPr>
      <w:r>
        <w:t>应用赛填写</w:t>
      </w:r>
    </w:p>
    <w:p>
      <w:r>
        <w:t>围绕任务解决能力、工程化落地水平、实际应用效果和业务落地潜力说明。商业价值并不要求已有付费客户。</w:t>
      </w:r>
    </w:p>
    <w:p>
      <w:pPr>
        <w:pStyle w:val="Heading2"/>
      </w:pPr>
      <w:r>
        <w:t>实际效果与工程运行</w:t>
      </w:r>
    </w:p>
    <w:p>
      <w:r>
        <w:t>说明可核验的效率、成本、质量、交期或安全改善，以及部署、稳定性、运维与必要安全措施。</w:t>
      </w:r>
    </w:p>
    <w:p>
      <w:r>
        <w:rPr>
          <w:color w:val="707887"/>
        </w:rPr>
        <w:t>［在此填写，可增删段落］</w:t>
      </w:r>
    </w:p>
    <w:p/>
    <w:p>
      <w:pPr>
        <w:pStyle w:val="Heading2"/>
      </w:pPr>
      <w:r>
        <w:t>商业价值与采用意愿</w:t>
      </w:r>
    </w:p>
    <w:p>
      <w:r>
        <w:t>说明目标用户、需求依据、主要成本和收益，按实际提供试用、投入意愿或采用证据。</w:t>
      </w:r>
    </w:p>
    <w:p>
      <w:r>
        <w:rPr>
          <w:color w:val="707887"/>
        </w:rPr>
        <w:t>［在此填写，可增删段落］</w:t>
      </w:r>
    </w:p>
    <w:p/>
    <w:p>
      <w:pPr>
        <w:pStyle w:val="Heading2"/>
      </w:pPr>
      <w:r>
        <w:t>创新赛填写</w:t>
      </w:r>
    </w:p>
    <w:p>
      <w:pPr>
        <w:pStyle w:val="Heading2"/>
      </w:pPr>
      <w:r>
        <w:t>创新差异与需求依据</w:t>
      </w:r>
    </w:p>
    <w:p>
      <w:r>
        <w:t>说明相对已有方法的实质差异、用户问题和需求依据，不用系统规模替代创新说明。</w:t>
      </w:r>
    </w:p>
    <w:p>
      <w:r>
        <w:rPr>
          <w:color w:val="707887"/>
        </w:rPr>
        <w:t>［在此填写，可增删段落］</w:t>
      </w:r>
    </w:p>
    <w:p/>
    <w:p>
      <w:pPr>
        <w:pStyle w:val="Heading2"/>
      </w:pPr>
      <w:r>
        <w:t>原型验证与发展计划</w:t>
      </w:r>
    </w:p>
    <w:p>
      <w:r>
        <w:t>说明核心创新已验证的部分、主要限制，以及下一步数据、技术、成本和试用条件。</w:t>
      </w:r>
    </w:p>
    <w:p>
      <w:r>
        <w:rPr>
          <w:color w:val="707887"/>
        </w:rPr>
        <w:t>［在此填写，可增删段落］</w:t>
      </w:r>
    </w:p>
    <w:p>
      <w:r>
        <w:br w:type="page"/>
      </w:r>
    </w:p>
    <w:p>
      <w:pPr>
        <w:pStyle w:val="Heading1"/>
      </w:pPr>
      <w:r>
        <w:t>9 证据附录与材料范围</w:t>
      </w:r>
    </w:p>
    <w:p>
      <w:r>
        <w:t>在此插入架构补图、关键对话与调用截图、后台核对结果、日志片段或其他必要证据。按编号引用到正文，避免重复堆放相同截图。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31"/>
        <w:gridCol w:w="5443"/>
        <w:gridCol w:w="2551"/>
      </w:tblGrid>
      <w:tr>
        <w:trPr>
          <w:cantSplit/>
          <w:tblHeader/>
        </w:trPr>
        <w:tc>
          <w:tcPr>
            <w:tcW w:type="dxa" w:w="15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AF0FA"/>
          </w:tcPr>
          <w:p>
            <w:pPr>
              <w:spacing w:after="60" w:line="288" w:lineRule="auto"/>
            </w:pPr>
            <w:r>
              <w:rPr>
                <w:b/>
                <w:sz w:val="19"/>
              </w:rPr>
              <w:t>证据编号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AF0FA"/>
          </w:tcPr>
          <w:p>
            <w:pPr>
              <w:spacing w:after="60" w:line="288" w:lineRule="auto"/>
            </w:pPr>
            <w:r>
              <w:rPr>
                <w:b/>
                <w:sz w:val="19"/>
              </w:rPr>
              <w:t>内容及对应主张</w:t>
            </w:r>
          </w:p>
        </w:tc>
        <w:tc>
          <w:tcPr>
            <w:tcW w:type="dxa" w:w="255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AF0FA"/>
          </w:tcPr>
          <w:p>
            <w:pPr>
              <w:spacing w:after="60" w:line="288" w:lineRule="auto"/>
            </w:pPr>
            <w:r>
              <w:rPr>
                <w:b/>
                <w:sz w:val="19"/>
              </w:rPr>
              <w:t>可查阅范围</w:t>
            </w:r>
          </w:p>
        </w:tc>
      </w:tr>
      <w:tr>
        <w:trPr>
          <w:cantSplit/>
        </w:trPr>
        <w:tc>
          <w:tcPr>
            <w:tcW w:type="dxa" w:w="15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E01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［填写］</w:t>
            </w:r>
          </w:p>
        </w:tc>
        <w:tc>
          <w:tcPr>
            <w:tcW w:type="dxa" w:w="255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［审核查验／评委阅读／拟公开展示］</w:t>
            </w:r>
          </w:p>
        </w:tc>
      </w:tr>
      <w:tr>
        <w:trPr>
          <w:cantSplit/>
        </w:trPr>
        <w:tc>
          <w:tcPr>
            <w:tcW w:type="dxa" w:w="15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7F9FC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E02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7F9FC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［填写］</w:t>
            </w:r>
          </w:p>
        </w:tc>
        <w:tc>
          <w:tcPr>
            <w:tcW w:type="dxa" w:w="255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7F9FC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［填写］</w:t>
            </w:r>
          </w:p>
        </w:tc>
      </w:tr>
      <w:tr>
        <w:trPr>
          <w:cantSplit/>
        </w:trPr>
        <w:tc>
          <w:tcPr>
            <w:tcW w:type="dxa" w:w="15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E03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［填写］</w:t>
            </w:r>
          </w:p>
        </w:tc>
        <w:tc>
          <w:tcPr>
            <w:tcW w:type="dxa" w:w="255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line="288" w:lineRule="auto"/>
            </w:pPr>
            <w:r>
              <w:rPr>
                <w:b w:val="0"/>
                <w:sz w:val="19"/>
              </w:rPr>
              <w:t>［填写］</w:t>
            </w:r>
          </w:p>
        </w:tc>
      </w:tr>
    </w:tbl>
    <w:p/>
    <w:p>
      <w:pPr>
        <w:pStyle w:val="Heading2"/>
      </w:pPr>
      <w:r>
        <w:t>补充材料</w:t>
      </w:r>
    </w:p>
    <w:p>
      <w:r>
        <w:t>按需插入图片、表格或链接。不要粘贴密码、Token或未经许可的原始客户资料。</w:t>
      </w:r>
    </w:p>
    <w:p>
      <w:r>
        <w:rPr>
          <w:color w:val="707887"/>
        </w:rPr>
        <w:t>［在此填写，可增删段落］</w:t>
      </w:r>
    </w:p>
    <w:p/>
    <w:p/>
    <w:p>
      <w:pPr>
        <w:pStyle w:val="Heading2"/>
      </w:pPr>
      <w:r>
        <w:t>提交前自查</w:t>
      </w:r>
    </w:p>
    <w:p>
      <w:r>
        <w:t>□ 作品、赛道、主方向与成员信息一致。</w:t>
      </w:r>
    </w:p>
    <w:p>
      <w:r>
        <w:t>□ 已提供万智Agent公开URL，评审可访问和运行。</w:t>
      </w:r>
    </w:p>
    <w:p>
      <w:r>
        <w:t>□ 万智任务有实际用途与运行证据，其他应用分工及数据传递清楚。</w:t>
      </w:r>
    </w:p>
    <w:p>
      <w:r>
        <w:t>□ 数据来源和版本明确，证据包含失败与人工介入。</w:t>
      </w:r>
    </w:p>
    <w:p>
      <w:r>
        <w:t>□ 应用效果与模拟结果分别表述，局限如实说明。</w:t>
      </w:r>
    </w:p>
    <w:p>
      <w:r>
        <w:t>□ 材料权限已区分，敏感信息已妥善处理。</w:t>
      </w:r>
    </w:p>
    <w:p>
      <w:r>
        <w:t>作品提交入口待开放，请先准备参赛材料。开放安排请关注赛事公告。说明书页数及视频时长为建议，不作为加分依据。</w:t>
      </w:r>
    </w:p>
    <w:sectPr w:rsidR="00FC693F" w:rsidRPr="0006063C" w:rsidSect="00034616">
      <w:footerReference w:type="default" r:id="rId9"/>
      <w:pgSz w:w="11906" w:h="16838"/>
      <w:pgMar w:top="1020" w:right="1191" w:bottom="1020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云桥杯作品说明书  ·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312" w:lineRule="auto"/>
    </w:pPr>
    <w:rPr>
      <w:rFonts w:ascii="Microsoft YaHei" w:hAnsi="Microsoft YaHei" w:eastAsia="Microsoft YaHei"/>
      <w:b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312" w:lineRule="auto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312" w:lineRule="auto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312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 w:line="312" w:lineRule="auto"/>
    </w:pPr>
    <w:rPr>
      <w:rFonts w:asciiTheme="majorHAnsi" w:eastAsiaTheme="majorEastAsia" w:hAnsiTheme="majorHAnsi" w:cstheme="majorBidi" w:ascii="Microsoft YaHei" w:hAnsi="Microsoft YaHei" w:eastAsia="Microsoft YaHei"/>
      <w:b w:val="0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2026云桥杯工业智能体大赛作品说明书模板</dc:title>
  <dc:subject>参赛作品说明与运行验证材料</dc:subject>
  <dc:creator>云桥杯赛事资料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